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68651_posam.htm"/>
      <w:bookmarkStart w:id="1" w:name="ksef20068651_posam"/>
      <w:bookmarkEnd w:id="0"/>
      <w:bookmarkEnd w:id="1"/>
      <w:r>
        <w:rPr>
          <w:rFonts w:ascii="Times New Roman" w:hAnsi="Times New Roman"/>
          <w:b/>
          <w:color w:val="000000"/>
          <w:sz w:val="20"/>
        </w:rPr>
        <w:t>As filed with the Securities and Exchange Commission on March 25, 2026</w:t>
      </w:r>
    </w:p>
    <w:p>
      <w:pPr>
        <w:pStyle w:val="TextBody"/>
        <w:bidi w:val="0"/>
        <w:spacing w:before="0" w:after="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333-275821</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333-278472</w:t>
      </w:r>
    </w:p>
    <w:p>
      <w:pPr>
        <w:pStyle w:val="HorizontalLine"/>
        <w:bidi w:val="0"/>
        <w:jc w:val="righ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 w:name="z803061c3017040cea5ba661b0d40cba7"/>
      <w:bookmarkStart w:id="3" w:name="z803061c3017040cea5ba661b0d40cba7"/>
      <w:bookmarkEnd w:id="3"/>
    </w:p>
    <w:tbl>
      <w:tblPr>
        <w:tblW w:w="5465" w:type="dxa"/>
        <w:jc w:val="left"/>
        <w:tblInd w:w="0" w:type="dxa"/>
        <w:tblLayout w:type="fixed"/>
        <w:tblCellMar>
          <w:top w:w="0" w:type="dxa"/>
          <w:left w:w="0" w:type="dxa"/>
          <w:bottom w:w="0" w:type="dxa"/>
          <w:right w:w="0" w:type="dxa"/>
        </w:tblCellMar>
      </w:tblPr>
      <w:tblGrid>
        <w:gridCol w:w="5465"/>
      </w:tblGrid>
      <w:tr>
        <w:trPr/>
        <w:tc>
          <w:tcPr>
            <w:tcW w:w="5465" w:type="dxa"/>
            <w:tcBorders/>
            <w:vAlign w:val="center"/>
          </w:tcPr>
          <w:p>
            <w:pPr>
              <w:pStyle w:val="TableContents"/>
              <w:bidi w:val="0"/>
              <w:spacing w:before="0" w:after="0"/>
              <w:jc w:val="center"/>
              <w:rPr>
                <w:b/>
                <w:color w:val="000000"/>
              </w:rPr>
            </w:pPr>
            <w:r>
              <w:rPr>
                <w:b/>
                <w:color w:val="000000"/>
              </w:rPr>
              <w:t>Post-Effective Amendment No. 1 to</w:t>
            </w:r>
          </w:p>
        </w:tc>
      </w:tr>
      <w:tr>
        <w:trPr/>
        <w:tc>
          <w:tcPr>
            <w:tcW w:w="5465" w:type="dxa"/>
            <w:tcBorders/>
            <w:vAlign w:val="center"/>
          </w:tcPr>
          <w:p>
            <w:pPr>
              <w:pStyle w:val="TableContents"/>
              <w:bidi w:val="0"/>
              <w:spacing w:before="0" w:after="0"/>
              <w:jc w:val="center"/>
              <w:rPr/>
            </w:pPr>
            <w:r>
              <w:rPr>
                <w:b/>
                <w:color w:val="000000"/>
              </w:rPr>
              <w:t>Form S-3 Registration Statement File No.</w:t>
            </w:r>
            <w:r>
              <w:rPr/>
              <w:t xml:space="preserve"> </w:t>
            </w:r>
            <w:r>
              <w:rPr>
                <w:b/>
                <w:color w:val="000000"/>
              </w:rPr>
              <w:t>333-275821</w:t>
            </w:r>
          </w:p>
          <w:p>
            <w:pPr>
              <w:pStyle w:val="TableContents"/>
              <w:bidi w:val="0"/>
              <w:spacing w:before="0" w:after="0"/>
              <w:jc w:val="center"/>
              <w:rPr>
                <w:b/>
                <w:color w:val="000000"/>
              </w:rPr>
            </w:pPr>
            <w:r>
              <w:rPr>
                <w:b/>
                <w:color w:val="000000"/>
              </w:rPr>
              <w:t>Form S-3 Registration Statement File No. 333-278472</w:t>
            </w:r>
          </w:p>
        </w:tc>
      </w:tr>
      <w:tr>
        <w:trPr/>
        <w:tc>
          <w:tcPr>
            <w:tcW w:w="5465" w:type="dxa"/>
            <w:tcBorders/>
            <w:vAlign w:val="center"/>
          </w:tcPr>
          <w:p>
            <w:pPr>
              <w:pStyle w:val="TableContents"/>
              <w:bidi w:val="0"/>
              <w:spacing w:before="0" w:after="0"/>
              <w:jc w:val="center"/>
              <w:rPr>
                <w:i/>
                <w:color w:val="000000"/>
              </w:rPr>
            </w:pPr>
            <w:r>
              <w:rPr>
                <w:i/>
                <w:color w:val="000000"/>
              </w:rPr>
              <w:t>Under</w:t>
              <w:br/>
              <w:t>The Securities Act of 1933</w:t>
            </w:r>
          </w:p>
        </w:tc>
      </w:tr>
    </w:tbl>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THE CANNABIST COMPANY HOLDINGS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the registrant as specified in its charter)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1c3ee078e01643a5a60484492439fed2"/>
      <w:bookmarkStart w:id="5" w:name="z1c3ee078e01643a5a60484492439fed2"/>
      <w:bookmarkEnd w:id="5"/>
    </w:p>
    <w:tbl>
      <w:tblPr>
        <w:tblW w:w="9100" w:type="dxa"/>
        <w:jc w:val="left"/>
        <w:tblInd w:w="0" w:type="dxa"/>
        <w:tblLayout w:type="fixed"/>
        <w:tblCellMar>
          <w:top w:w="0" w:type="dxa"/>
          <w:left w:w="0" w:type="dxa"/>
          <w:bottom w:w="0" w:type="dxa"/>
          <w:right w:w="0" w:type="dxa"/>
        </w:tblCellMar>
      </w:tblPr>
      <w:tblGrid>
        <w:gridCol w:w="5600"/>
        <w:gridCol w:w="60"/>
        <w:gridCol w:w="3440"/>
      </w:tblGrid>
      <w:tr>
        <w:trPr/>
        <w:tc>
          <w:tcPr>
            <w:tcW w:w="5600" w:type="dxa"/>
            <w:tcBorders/>
            <w:vAlign w:val="center"/>
          </w:tcPr>
          <w:p>
            <w:pPr>
              <w:pStyle w:val="TableContents"/>
              <w:bidi w:val="0"/>
              <w:spacing w:before="0" w:after="0"/>
              <w:jc w:val="center"/>
              <w:rPr>
                <w:b/>
                <w:color w:val="000000"/>
              </w:rPr>
            </w:pPr>
            <w:r>
              <w:rPr>
                <w:b/>
                <w:color w:val="000000"/>
              </w:rPr>
              <w:t>British Columbia</w:t>
            </w:r>
          </w:p>
          <w:p>
            <w:pPr>
              <w:pStyle w:val="TableContents"/>
              <w:bidi w:val="0"/>
              <w:spacing w:before="0" w:after="0"/>
              <w:jc w:val="center"/>
              <w:rPr>
                <w:color w:val="000000"/>
              </w:rPr>
            </w:pPr>
            <w:r>
              <w:rPr>
                <w:color w:val="00000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center"/>
              <w:rPr>
                <w:b/>
                <w:color w:val="000000"/>
              </w:rPr>
            </w:pPr>
            <w:r>
              <w:rPr>
                <w:b/>
                <w:color w:val="000000"/>
              </w:rPr>
              <w:t>98-1488978</w:t>
            </w:r>
          </w:p>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321 Billerica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Chelmsford, MA 01824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(978) 910-1486</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David Sirolly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Chief Legal Officer &amp; General Counsel</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Cannabist Company Holdings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321 Billerica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Chelmsford, MA 01824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(978) 910-1486</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and address agent for service)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Copies to:</w:t>
      </w:r>
    </w:p>
    <w:p>
      <w:pPr>
        <w:pStyle w:val="TextBody"/>
        <w:bidi w:val="0"/>
        <w:spacing w:before="0" w:after="0"/>
        <w:ind w:left="108" w:right="0" w:hanging="0"/>
        <w:jc w:val="center"/>
        <w:rPr>
          <w:rFonts w:ascii="Times New Roman" w:hAnsi="Times New Roman"/>
          <w:color w:val="000000"/>
          <w:sz w:val="20"/>
        </w:rPr>
      </w:pPr>
      <w:r>
        <w:rPr>
          <w:rFonts w:ascii="Times New Roman" w:hAnsi="Times New Roman"/>
          <w:color w:val="000000"/>
          <w:sz w:val="20"/>
        </w:rPr>
        <w:t>Weil, Gotshal &amp; Manges LLP</w:t>
        <w:br/>
        <w:t>767 5th Ave</w:t>
        <w:br/>
        <w:t>New York, NY 10153</w:t>
        <w:br/>
        <w:t>(212) 310-8000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w:t>
      </w:r>
      <w:r>
        <w:rPr>
          <w:rFonts w:ascii="Times New Roman" w:hAnsi="Times New Roman"/>
          <w:color w:val="000000"/>
          <w:sz w:val="24"/>
        </w:rPr>
        <w:t> “</w:t>
      </w:r>
      <w:r>
        <w:rPr>
          <w:rFonts w:ascii="Times New Roman" w:hAnsi="Times New Roman"/>
          <w:color w:val="000000"/>
          <w:sz w:val="20"/>
        </w:rPr>
        <w:t>accelerated filer,” “smaller reporting company,” and “emerging growth company” in Rule 12b-2 of the Exchange Act.</w:t>
      </w:r>
    </w:p>
    <w:p>
      <w:pPr>
        <w:pStyle w:val="TextBody"/>
        <w:bidi w:val="0"/>
        <w:spacing w:before="0" w:after="0"/>
        <w:jc w:val="left"/>
        <w:rPr>
          <w:color w:val="000000"/>
          <w:sz w:val="20"/>
        </w:rPr>
      </w:pPr>
      <w:r>
        <w:rPr>
          <w:color w:val="000000"/>
          <w:sz w:val="20"/>
        </w:rPr>
      </w:r>
    </w:p>
    <w:p>
      <w:pPr>
        <w:pStyle w:val="Normal"/>
        <w:bidi w:val="0"/>
        <w:spacing w:before="0" w:after="0"/>
        <w:jc w:val="left"/>
        <w:rPr>
          <w:sz w:val="4"/>
          <w:szCs w:val="4"/>
        </w:rPr>
      </w:pPr>
      <w:r>
        <w:rPr>
          <w:sz w:val="4"/>
          <w:szCs w:val="4"/>
        </w:rPr>
      </w:r>
      <w:bookmarkStart w:id="6" w:name="z5f3175f999df4c53b689a79c1b12e7ff"/>
      <w:bookmarkStart w:id="7" w:name="z5f3175f999df4c53b689a79c1b12e7ff"/>
      <w:bookmarkEnd w:id="7"/>
    </w:p>
    <w:tbl>
      <w:tblPr>
        <w:tblW w:w="5195" w:type="dxa"/>
        <w:jc w:val="left"/>
        <w:tblInd w:w="0" w:type="dxa"/>
        <w:tblLayout w:type="fixed"/>
        <w:tblCellMar>
          <w:top w:w="0" w:type="dxa"/>
          <w:left w:w="0" w:type="dxa"/>
          <w:bottom w:w="0" w:type="dxa"/>
          <w:right w:w="0" w:type="dxa"/>
        </w:tblCellMar>
      </w:tblPr>
      <w:tblGrid>
        <w:gridCol w:w="2120"/>
        <w:gridCol w:w="230"/>
        <w:gridCol w:w="2615"/>
        <w:gridCol w:w="230"/>
      </w:tblGrid>
      <w:tr>
        <w:trPr/>
        <w:tc>
          <w:tcPr>
            <w:tcW w:w="2120" w:type="dxa"/>
            <w:tcBorders/>
            <w:vAlign w:val="center"/>
          </w:tcPr>
          <w:p>
            <w:pPr>
              <w:pStyle w:val="TableContents"/>
              <w:bidi w:val="0"/>
              <w:spacing w:before="0" w:after="0"/>
              <w:jc w:val="left"/>
              <w:rPr>
                <w:color w:val="000000"/>
              </w:rPr>
            </w:pPr>
            <w:r>
              <w:rPr>
                <w:color w:val="000000"/>
              </w:rPr>
              <w:t>Large accelerated filer</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color w:val="000000"/>
              </w:rPr>
            </w:pPr>
            <w:r>
              <w:rPr>
                <w:color w:val="000000"/>
              </w:rPr>
              <w:t>Accelerated filer</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0"/>
              <w:jc w:val="left"/>
              <w:rPr>
                <w:color w:val="000000"/>
              </w:rPr>
            </w:pPr>
            <w:r>
              <w:rPr>
                <w:color w:val="000000"/>
              </w:rPr>
              <w:t>Non-accelerated filer</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color w:val="000000"/>
              </w:rPr>
            </w:pPr>
            <w:r>
              <w:rPr>
                <w:color w:val="000000"/>
              </w:rPr>
              <w:t>Smaller reporting company</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color w:val="000000"/>
              </w:rPr>
            </w:pPr>
            <w:r>
              <w:rPr>
                <w:color w:val="000000"/>
              </w:rPr>
              <w:t> </w:t>
            </w:r>
          </w:p>
        </w:tc>
        <w:tc>
          <w:tcPr>
            <w:tcW w:w="2615" w:type="dxa"/>
            <w:tcBorders/>
            <w:vAlign w:val="center"/>
          </w:tcPr>
          <w:p>
            <w:pPr>
              <w:pStyle w:val="TableContents"/>
              <w:bidi w:val="0"/>
              <w:spacing w:before="0" w:after="0"/>
              <w:jc w:val="left"/>
              <w:rPr>
                <w:color w:val="000000"/>
              </w:rPr>
            </w:pPr>
            <w:r>
              <w:rPr>
                <w:color w:val="000000"/>
              </w:rPr>
              <w:t>Emerging growth company</w:t>
            </w:r>
          </w:p>
        </w:tc>
        <w:tc>
          <w:tcPr>
            <w:tcW w:w="230"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color w:val="000000"/>
        </w:rPr>
      </w:pPr>
      <w:r>
        <w:rPr>
          <w:color w:val="000000"/>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DEREGISTRATION OF UNSOLD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8" w:name="z_Hlk222752675"/>
      <w:bookmarkEnd w:id="8"/>
      <w:r>
        <w:rPr>
          <w:rFonts w:ascii="Times New Roman" w:hAnsi="Times New Roman"/>
          <w:color w:val="000000"/>
          <w:sz w:val="20"/>
        </w:rPr>
        <w:t>These Post-Effective Amendments (the “Post-Effective Amendments”), filed by The Cannabist Company Holdings Inc., a British Columbia, Canada corporation (the “Registrant”), relate to the following Registration Statements on Form S-3 and any amendments previously filed by the Registrant (the “Registration Statements”) with the Securities and Exchange Commission (the “SEC”):</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 w:name="z20b04e9d98b643cd817120e3bb495f67"/>
      <w:bookmarkStart w:id="10" w:name="z20b04e9d98b643cd817120e3bb495f67"/>
      <w:bookmarkEnd w:id="10"/>
    </w:p>
    <w:tbl>
      <w:tblPr>
        <w:tblW w:w="10205" w:type="dxa"/>
        <w:jc w:val="left"/>
        <w:tblInd w:w="0" w:type="dxa"/>
        <w:tblLayout w:type="fixed"/>
        <w:tblCellMar>
          <w:top w:w="0" w:type="dxa"/>
          <w:left w:w="0" w:type="dxa"/>
          <w:bottom w:w="28" w:type="dxa"/>
          <w:right w:w="0" w:type="dxa"/>
        </w:tblCellMar>
      </w:tblPr>
      <w:tblGrid>
        <w:gridCol w:w="1113"/>
        <w:gridCol w:w="1500"/>
        <w:gridCol w:w="7592"/>
      </w:tblGrid>
      <w:tr>
        <w:trPr/>
        <w:tc>
          <w:tcPr>
            <w:tcW w:w="1113" w:type="dxa"/>
            <w:tcBorders>
              <w:bottom w:val="single" w:sz="12" w:space="0" w:color="000000"/>
            </w:tcBorders>
            <w:vAlign w:val="center"/>
          </w:tcPr>
          <w:p>
            <w:pPr>
              <w:pStyle w:val="TableContents"/>
              <w:bidi w:val="0"/>
              <w:spacing w:before="0" w:after="0"/>
              <w:jc w:val="left"/>
              <w:rPr>
                <w:b/>
                <w:color w:val="000000"/>
                <w:sz w:val="20"/>
                <w:u w:val="single"/>
              </w:rPr>
            </w:pPr>
            <w:r>
              <w:rPr>
                <w:b/>
                <w:color w:val="000000"/>
                <w:sz w:val="20"/>
                <w:u w:val="single"/>
              </w:rPr>
              <w:t>Registration</w:t>
              <w:br/>
              <w:t>No.</w:t>
            </w:r>
          </w:p>
        </w:tc>
        <w:tc>
          <w:tcPr>
            <w:tcW w:w="1500" w:type="dxa"/>
            <w:tcBorders>
              <w:bottom w:val="single" w:sz="12" w:space="0" w:color="000000"/>
            </w:tcBorders>
            <w:vAlign w:val="center"/>
          </w:tcPr>
          <w:p>
            <w:pPr>
              <w:pStyle w:val="TableContents"/>
              <w:bidi w:val="0"/>
              <w:spacing w:before="0" w:after="0"/>
              <w:jc w:val="left"/>
              <w:rPr>
                <w:b/>
                <w:color w:val="000000"/>
                <w:u w:val="single"/>
              </w:rPr>
            </w:pPr>
            <w:r>
              <w:rPr>
                <w:b/>
                <w:color w:val="000000"/>
                <w:u w:val="single"/>
              </w:rPr>
              <w:t>Date Originally Filed</w:t>
            </w:r>
          </w:p>
          <w:p>
            <w:pPr>
              <w:pStyle w:val="TableContents"/>
              <w:bidi w:val="0"/>
              <w:spacing w:before="0" w:after="0"/>
              <w:jc w:val="left"/>
              <w:rPr>
                <w:b/>
                <w:color w:val="000000"/>
                <w:u w:val="single"/>
              </w:rPr>
            </w:pPr>
            <w:r>
              <w:rPr>
                <w:b/>
                <w:color w:val="000000"/>
                <w:u w:val="single"/>
              </w:rPr>
              <w:t>With the SEC</w:t>
            </w:r>
          </w:p>
        </w:tc>
        <w:tc>
          <w:tcPr>
            <w:tcW w:w="7592" w:type="dxa"/>
            <w:tcBorders>
              <w:bottom w:val="single" w:sz="12" w:space="0" w:color="000000"/>
            </w:tcBorders>
            <w:vAlign w:val="center"/>
          </w:tcPr>
          <w:p>
            <w:pPr>
              <w:pStyle w:val="TableContents"/>
              <w:bidi w:val="0"/>
              <w:spacing w:before="0" w:after="0"/>
              <w:jc w:val="left"/>
              <w:rPr>
                <w:b/>
                <w:color w:val="000000"/>
                <w:u w:val="single"/>
              </w:rPr>
            </w:pPr>
            <w:r>
              <w:rPr>
                <w:b/>
                <w:color w:val="000000"/>
                <w:u w:val="single"/>
              </w:rPr>
              <w:t>Number of Common Shares Registered</w:t>
            </w:r>
          </w:p>
        </w:tc>
      </w:tr>
      <w:tr>
        <w:trPr/>
        <w:tc>
          <w:tcPr>
            <w:tcW w:w="1113" w:type="dxa"/>
            <w:tcBorders>
              <w:bottom w:val="single" w:sz="12" w:space="0" w:color="000000"/>
            </w:tcBorders>
            <w:shd w:fill="CCEEFF" w:val="clear"/>
            <w:vAlign w:val="center"/>
          </w:tcPr>
          <w:p>
            <w:pPr>
              <w:pStyle w:val="TableContents"/>
              <w:bidi w:val="0"/>
              <w:spacing w:before="0" w:after="0"/>
              <w:jc w:val="left"/>
              <w:rPr>
                <w:color w:val="000000"/>
              </w:rPr>
            </w:pPr>
            <w:r>
              <w:rPr>
                <w:color w:val="000000"/>
              </w:rPr>
              <w:t>333-275821</w:t>
            </w:r>
          </w:p>
        </w:tc>
        <w:tc>
          <w:tcPr>
            <w:tcW w:w="1500" w:type="dxa"/>
            <w:tcBorders>
              <w:bottom w:val="single" w:sz="12" w:space="0" w:color="000000"/>
            </w:tcBorders>
            <w:shd w:fill="CCEEFF" w:val="clear"/>
            <w:vAlign w:val="center"/>
          </w:tcPr>
          <w:p>
            <w:pPr>
              <w:pStyle w:val="TableContents"/>
              <w:bidi w:val="0"/>
              <w:spacing w:before="0" w:after="0"/>
              <w:jc w:val="left"/>
              <w:rPr>
                <w:color w:val="000000"/>
              </w:rPr>
            </w:pPr>
            <w:r>
              <w:rPr>
                <w:color w:val="000000"/>
              </w:rPr>
              <w:t>November 30, 2023</w:t>
            </w:r>
          </w:p>
        </w:tc>
        <w:tc>
          <w:tcPr>
            <w:tcW w:w="7592" w:type="dxa"/>
            <w:tcBorders>
              <w:bottom w:val="single" w:sz="12" w:space="0" w:color="000000"/>
            </w:tcBorders>
            <w:shd w:fill="CCEEFF" w:val="clear"/>
            <w:vAlign w:val="center"/>
          </w:tcPr>
          <w:p>
            <w:pPr>
              <w:pStyle w:val="TableContents"/>
              <w:bidi w:val="0"/>
              <w:spacing w:before="0" w:after="0"/>
              <w:jc w:val="left"/>
              <w:rPr>
                <w:color w:val="000000"/>
              </w:rPr>
            </w:pPr>
            <w:r>
              <w:rPr>
                <w:color w:val="000000"/>
              </w:rPr>
              <w:t>Up to an aggregate offering price of $250,000,000 of any combination of Registrant’s securities</w:t>
            </w:r>
          </w:p>
        </w:tc>
      </w:tr>
      <w:tr>
        <w:trPr/>
        <w:tc>
          <w:tcPr>
            <w:tcW w:w="1113" w:type="dxa"/>
            <w:tcBorders>
              <w:bottom w:val="single" w:sz="12" w:space="0" w:color="000000"/>
            </w:tcBorders>
            <w:vAlign w:val="center"/>
          </w:tcPr>
          <w:p>
            <w:pPr>
              <w:pStyle w:val="TableContents"/>
              <w:bidi w:val="0"/>
              <w:spacing w:before="0" w:after="0"/>
              <w:jc w:val="left"/>
              <w:rPr>
                <w:color w:val="000000"/>
              </w:rPr>
            </w:pPr>
            <w:r>
              <w:rPr>
                <w:color w:val="000000"/>
              </w:rPr>
              <w:t>333-278472</w:t>
            </w:r>
          </w:p>
        </w:tc>
        <w:tc>
          <w:tcPr>
            <w:tcW w:w="1500" w:type="dxa"/>
            <w:tcBorders>
              <w:bottom w:val="single" w:sz="12" w:space="0" w:color="000000"/>
            </w:tcBorders>
            <w:vAlign w:val="center"/>
          </w:tcPr>
          <w:p>
            <w:pPr>
              <w:pStyle w:val="TableContents"/>
              <w:bidi w:val="0"/>
              <w:spacing w:before="0" w:after="0"/>
              <w:jc w:val="left"/>
              <w:rPr>
                <w:color w:val="000000"/>
              </w:rPr>
            </w:pPr>
            <w:r>
              <w:rPr>
                <w:color w:val="000000"/>
              </w:rPr>
              <w:t>April 2, 2024</w:t>
            </w:r>
          </w:p>
        </w:tc>
        <w:tc>
          <w:tcPr>
            <w:tcW w:w="7592" w:type="dxa"/>
            <w:tcBorders>
              <w:bottom w:val="single" w:sz="12" w:space="0" w:color="000000"/>
            </w:tcBorders>
            <w:vAlign w:val="center"/>
          </w:tcPr>
          <w:p>
            <w:pPr>
              <w:pStyle w:val="TableContents"/>
              <w:bidi w:val="0"/>
              <w:spacing w:before="0" w:after="0"/>
              <w:jc w:val="left"/>
              <w:rPr>
                <w:color w:val="000000"/>
              </w:rPr>
            </w:pPr>
            <w:r>
              <w:rPr>
                <w:color w:val="000000"/>
              </w:rPr>
              <w:t>84,426,229 shares of common stock, issued upon the conversion of certain senior secured convertible debentures issued on March 19, 2024, for resale by selling stockholders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March 24, 2026, the Registrant and its debtor affiliate, the Cannabist Company Holdings (Canada) Inc. (together, the “Debtors”), commenced a proceeding under the jurisdiction of the Ontario Superior Court of Justice (Commercial List) pursuant to the Companies’ Creditors Arrangement Act (the “CCAA”) (the “Canadian Proceeding”). On March 25, 2026, the Debtors filed voluntary petitions for relief under chapter 15 of title 11 of the United States Code (such cases, the “Chapter 15 Cases”) in the United States Bankruptcy Court for the District of Delaware. In connection with the Canadian Proceeding and the filing of the Chapter 15 Cases, the Registrant is terminating all offerings of its securities pursuant to the existing registration statements under the Securities Act of 1933, including the Registration Statements.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undertaking made by the Registrant in the Registration Statements to remove from registration by means of a post-effective amendment any of the securities that had been registered for issuance that remain unsold at the termination of the offering, the Registrant is filing these Post-Effective Amendments to terminate the effectiveness of the Registration Statements and to deregister, as of the effectiveness of these Post-Effective Amendments, any and all securities of the Registrant registered thereunder that remain unsold as of the effectiveness date. As a result of this deregistration and upon the effectiveness of these Post-Effective Amendments, no securities will remain registered pursuant to the Registration Statements.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color w:val="000000"/>
        </w:rPr>
      </w:pPr>
      <w:r>
        <w:rPr>
          <w:color w:val="000000"/>
        </w:rPr>
        <w:t> </w:t>
      </w:r>
    </w:p>
    <w:p>
      <w:pPr>
        <w:pStyle w:val="TextBody"/>
        <w:bidi w:val="0"/>
        <w:spacing w:before="0" w:after="0"/>
        <w:ind w:left="0" w:right="0" w:firstLine="490"/>
        <w:jc w:val="both"/>
        <w:rPr>
          <w:rFonts w:ascii="Times New Roman" w:hAnsi="Times New Roman"/>
          <w:color w:val="000000"/>
          <w:sz w:val="20"/>
        </w:rPr>
      </w:pPr>
      <w:r>
        <w:rPr>
          <w:rFonts w:ascii="Times New Roman" w:hAnsi="Times New Roman"/>
          <w:color w:val="000000"/>
          <w:sz w:val="20"/>
        </w:rPr>
        <w:t xml:space="preserve">Pursuant to the requirements of the Securities Act of 1933, the Registrant certifies that it has reasonable grounds to believe that it meets all of the requirements for filing on Form S-3 and has duly caused these Post-Effective Amendments to the Registration Statements to be signed on its behalf by the undersigned, thereunto duly authorized in the City of Chelmsford, State of Massachusetts, on </w:t>
      </w:r>
      <w:bookmarkStart w:id="11" w:name="z_Hlk222752565"/>
      <w:bookmarkEnd w:id="11"/>
      <w:r>
        <w:rPr>
          <w:rFonts w:ascii="Times New Roman" w:hAnsi="Times New Roman"/>
          <w:color w:val="000000"/>
          <w:sz w:val="20"/>
        </w:rPr>
        <w:t>March 25,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b95cedb24ea546d3af230548979807c9"/>
      <w:bookmarkStart w:id="13" w:name="zb95cedb24ea546d3af230548979807c9"/>
      <w:bookmarkEnd w:id="13"/>
    </w:p>
    <w:tbl>
      <w:tblPr>
        <w:tblW w:w="5390" w:type="dxa"/>
        <w:jc w:val="left"/>
        <w:tblInd w:w="0" w:type="dxa"/>
        <w:tblLayout w:type="fixed"/>
        <w:tblCellMar>
          <w:top w:w="0" w:type="dxa"/>
          <w:left w:w="0" w:type="dxa"/>
          <w:bottom w:w="0" w:type="dxa"/>
          <w:right w:w="0" w:type="dxa"/>
        </w:tblCellMar>
      </w:tblPr>
      <w:tblGrid>
        <w:gridCol w:w="75"/>
        <w:gridCol w:w="5315"/>
      </w:tblGrid>
      <w:tr>
        <w:trPr/>
        <w:tc>
          <w:tcPr>
            <w:tcW w:w="75"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b/>
                <w:color w:val="000000"/>
              </w:rPr>
            </w:pPr>
            <w:r>
              <w:rPr>
                <w:b/>
                <w:color w:val="000000"/>
              </w:rPr>
              <w:t>THE CANNABIST COMPANY HOLDINGS INC.</w:t>
            </w:r>
          </w:p>
        </w:tc>
      </w:tr>
      <w:tr>
        <w:trPr/>
        <w:tc>
          <w:tcPr>
            <w:tcW w:w="75"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By: /s/ David Sirolly</w:t>
            </w:r>
          </w:p>
        </w:tc>
      </w:tr>
      <w:tr>
        <w:trPr/>
        <w:tc>
          <w:tcPr>
            <w:tcW w:w="75"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color w:val="000000"/>
              </w:rPr>
            </w:pPr>
            <w:r>
              <w:rPr>
                <w:color w:val="000000"/>
              </w:rPr>
              <w:t>Name: David Sirolly</w:t>
            </w:r>
          </w:p>
          <w:p>
            <w:pPr>
              <w:pStyle w:val="TableContents"/>
              <w:bidi w:val="0"/>
              <w:spacing w:before="0" w:after="0"/>
              <w:jc w:val="left"/>
              <w:rPr>
                <w:color w:val="000000"/>
              </w:rPr>
            </w:pPr>
            <w:r>
              <w:rPr>
                <w:color w:val="000000"/>
              </w:rPr>
              <w:t>Title: Chief Legal Officer &amp; General Counsel</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Note: No other person is required to sign these Post-Effective Amendments in reliance upon Rule 478 under the Securities Act of 1933.</w:t>
      </w:r>
    </w:p>
    <w:p>
      <w:pPr>
        <w:pStyle w:val="TextBody"/>
        <w:bidi w:val="0"/>
        <w:spacing w:before="0" w:after="0"/>
        <w:jc w:val="both"/>
        <w:rPr>
          <w:color w:val="000000"/>
        </w:rPr>
      </w:pPr>
      <w:r>
        <w:rPr>
          <w:color w:val="000000"/>
        </w:rPr>
      </w:r>
    </w:p>
    <w:p>
      <w:pPr>
        <w:pStyle w:val="TextBody"/>
        <w:bidi w:val="0"/>
        <w:spacing w:before="0" w:after="0"/>
        <w:jc w:val="both"/>
        <w:rPr>
          <w:color w:val="000000"/>
        </w:rPr>
      </w:pPr>
      <w:r>
        <w:rPr>
          <w:color w:val="000000"/>
        </w:rPr>
      </w:r>
    </w:p>
    <w:p>
      <w:pPr>
        <w:pStyle w:val="HorizontalLine"/>
        <w:pBdr>
          <w:bottom w:val="single" w:sz="12" w:space="0" w:color="808080"/>
        </w:pBdr>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710</Words>
  <Characters>4130</Characters>
  <CharactersWithSpaces>4795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